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4BEF0" w14:textId="06AAE785" w:rsidR="00BF2200" w:rsidRDefault="005779A0">
      <w:r>
        <w:t>Proposition de motion contre les KeyLabs</w:t>
      </w:r>
    </w:p>
    <w:p w14:paraId="65809196" w14:textId="105E1125" w:rsidR="005779A0" w:rsidRDefault="005779A0"/>
    <w:p w14:paraId="03C47044" w14:textId="2213A08B" w:rsidR="005779A0" w:rsidRDefault="005779A0"/>
    <w:p w14:paraId="6602C50B" w14:textId="29C79949" w:rsidR="005779A0" w:rsidRDefault="005779A0">
      <w:r>
        <w:t xml:space="preserve">Les personnels de l’unité  XXXXXX </w:t>
      </w:r>
    </w:p>
    <w:p w14:paraId="66CF8732" w14:textId="15DEB9F9" w:rsidR="005779A0" w:rsidRDefault="005779A0">
      <w:r>
        <w:t>ont pris connaissance de la création des KeyLabs par la direction générale du CNRS dans une absence totale de concertation. Ce concept prévoit un label discriminant 75% des unités au profit d’unités qui bénéficierai</w:t>
      </w:r>
      <w:r w:rsidR="002A427A">
        <w:t>en</w:t>
      </w:r>
      <w:r>
        <w:t>t d’un traitement privilégier dans l’attribution des moyens humains et budgétaire associé à un accompagnement « renforcé ».</w:t>
      </w:r>
    </w:p>
    <w:p w14:paraId="34703BE9" w14:textId="4631169E" w:rsidR="005779A0" w:rsidRDefault="005779A0" w:rsidP="005779A0">
      <w:r>
        <w:t xml:space="preserve">Nous estimons qu’une politique consistant à concentrer les moyens sur un quart des laboratoires se ferait au détriment des autres unités </w:t>
      </w:r>
      <w:r w:rsidR="002A427A">
        <w:t xml:space="preserve">ainsi que de la recherche fondamentale </w:t>
      </w:r>
      <w:r>
        <w:t>; elle ne peut qu’affaiblir le CNRS, remettre en cause son caractère national, désorganiser le fonctionnement de la recherche publique et accentuer les divisions au sein de sa communauté. Cette différentiation inutile et néfaste, sous prétexte d’une situation de pénurie budgétaire, compromettrait l’interdisciplinarité et les missions fondamentales du CNRS dont le développement des connaissances.</w:t>
      </w:r>
    </w:p>
    <w:p w14:paraId="47D74DC3" w14:textId="4B61C321" w:rsidR="005779A0" w:rsidRDefault="005779A0" w:rsidP="005779A0">
      <w:r>
        <w:t xml:space="preserve">Ce concept de « CNRS KeyLabs » est un mauvais outil pour </w:t>
      </w:r>
      <w:r w:rsidR="00945595">
        <w:t>de</w:t>
      </w:r>
      <w:r>
        <w:t xml:space="preserve"> vrai</w:t>
      </w:r>
      <w:r w:rsidR="00945595">
        <w:t>s</w:t>
      </w:r>
      <w:r>
        <w:t xml:space="preserve"> problème</w:t>
      </w:r>
      <w:r w:rsidR="00945595">
        <w:t>s, celui des moyens d’une part et celui de la place du CNRS dans l’écosystème de la recherche publique en France.</w:t>
      </w:r>
    </w:p>
    <w:p w14:paraId="5C25528F" w14:textId="77777777" w:rsidR="00945595" w:rsidRDefault="005779A0" w:rsidP="005779A0">
      <w:r>
        <w:t xml:space="preserve">Nous nous opposons </w:t>
      </w:r>
      <w:r w:rsidR="00945595">
        <w:t>aux KeyLabs en demandant leur retrait.</w:t>
      </w:r>
    </w:p>
    <w:p w14:paraId="092AAAED" w14:textId="2E9339F8" w:rsidR="005779A0" w:rsidRDefault="00945595" w:rsidP="005779A0">
      <w:r>
        <w:t>Nous demandons une réflexion impliquant les instances du CoNRS</w:t>
      </w:r>
      <w:r w:rsidR="002A427A">
        <w:t xml:space="preserve"> (comité national)</w:t>
      </w:r>
      <w:r>
        <w:t xml:space="preserve"> afin d’analyser les causalités et élaborer des propositions au règlement de la crise que traverse la recherche publique française.</w:t>
      </w:r>
      <w:r w:rsidR="002A427A">
        <w:t xml:space="preserve"> Ces réponses doivent conduire à évaluer l’exigence d’un financement de la recherche publique à la hauteur des objectifs qui lui sont assignés. D’autre part nous attendons la clarification et la confirmation du rôle essentiel du CNRS comme opérateur de recherche dans l’écosystème ESR en France.</w:t>
      </w:r>
    </w:p>
    <w:sectPr w:rsidR="005779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A0"/>
    <w:rsid w:val="002A427A"/>
    <w:rsid w:val="005779A0"/>
    <w:rsid w:val="00945595"/>
    <w:rsid w:val="00B263B2"/>
    <w:rsid w:val="00BF22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98D4"/>
  <w15:chartTrackingRefBased/>
  <w15:docId w15:val="{8FEF5259-0699-4895-9ABD-4D95AECF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779A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1479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Gori</dc:creator>
  <cp:keywords/>
  <dc:description/>
  <cp:lastModifiedBy>GALLINA-MULLER Claudia</cp:lastModifiedBy>
  <cp:revision>2</cp:revision>
  <dcterms:created xsi:type="dcterms:W3CDTF">2025-01-24T12:36:00Z</dcterms:created>
  <dcterms:modified xsi:type="dcterms:W3CDTF">2025-01-24T12:36:00Z</dcterms:modified>
</cp:coreProperties>
</file>